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3B2" w:rsidRDefault="008733B2">
      <w:pPr>
        <w:rPr>
          <w:rFonts w:ascii="Times New Roman" w:hAnsi="Times New Roman" w:cs="Times New Roman"/>
          <w:b/>
          <w:bCs/>
          <w:u w:val="single"/>
        </w:rPr>
      </w:pPr>
      <w:r>
        <w:rPr>
          <w:b/>
          <w:bCs/>
          <w:sz w:val="28"/>
          <w:szCs w:val="28"/>
          <w:u w:val="single"/>
        </w:rPr>
        <w:t>Minutes of the Meeting held between JPSFA Container Sub Committee &amp; Johor Port</w:t>
      </w:r>
    </w:p>
    <w:p w:rsidR="008733B2" w:rsidRDefault="008733B2">
      <w:r>
        <w:t>Date : 3</w:t>
      </w:r>
      <w:r>
        <w:rPr>
          <w:vertAlign w:val="superscript"/>
        </w:rPr>
        <w:t>rd</w:t>
      </w:r>
      <w:r>
        <w:t xml:space="preserve"> June 2011</w:t>
      </w:r>
    </w:p>
    <w:p w:rsidR="008733B2" w:rsidRDefault="008733B2">
      <w:r>
        <w:t>Time: 10.00am</w:t>
      </w:r>
    </w:p>
    <w:p w:rsidR="008733B2" w:rsidRDefault="008733B2">
      <w:r>
        <w:t>Venue: JPB Boardroom</w:t>
      </w:r>
    </w:p>
    <w:p w:rsidR="008733B2" w:rsidRDefault="008733B2">
      <w:r>
        <w:t>Attendees:</w:t>
      </w:r>
    </w:p>
    <w:p w:rsidR="008733B2" w:rsidRDefault="008733B2">
      <w:pPr>
        <w:pStyle w:val="ListParagraph"/>
        <w:numPr>
          <w:ilvl w:val="0"/>
          <w:numId w:val="1"/>
        </w:numPr>
      </w:pPr>
      <w:r>
        <w:t>Alan Hwang – Joint Chairman, JPSFA Container Sub Committee</w:t>
      </w:r>
    </w:p>
    <w:p w:rsidR="008733B2" w:rsidRDefault="008733B2">
      <w:pPr>
        <w:pStyle w:val="ListParagraph"/>
        <w:numPr>
          <w:ilvl w:val="0"/>
          <w:numId w:val="1"/>
        </w:numPr>
      </w:pPr>
      <w:r>
        <w:t>Vincent Chan – Joint Chairman, JPSFA Container Sub Committee</w:t>
      </w:r>
    </w:p>
    <w:p w:rsidR="008733B2" w:rsidRDefault="008733B2">
      <w:pPr>
        <w:pStyle w:val="ListParagraph"/>
        <w:numPr>
          <w:ilvl w:val="0"/>
          <w:numId w:val="1"/>
        </w:numPr>
      </w:pPr>
      <w:r>
        <w:t>Francis B. Fernandez – JPSFA Sub Committee</w:t>
      </w:r>
    </w:p>
    <w:p w:rsidR="008733B2" w:rsidRDefault="008733B2">
      <w:pPr>
        <w:pStyle w:val="ListParagraph"/>
        <w:numPr>
          <w:ilvl w:val="0"/>
          <w:numId w:val="1"/>
        </w:numPr>
      </w:pPr>
      <w:r>
        <w:t>Douglas Choo – Treasurer, JPSFA</w:t>
      </w:r>
    </w:p>
    <w:p w:rsidR="008733B2" w:rsidRDefault="008733B2">
      <w:pPr>
        <w:pStyle w:val="ListParagraph"/>
        <w:numPr>
          <w:ilvl w:val="0"/>
          <w:numId w:val="1"/>
        </w:numPr>
      </w:pPr>
      <w:r>
        <w:t>Michael Cheah – President, JPSFA</w:t>
      </w:r>
    </w:p>
    <w:p w:rsidR="008733B2" w:rsidRDefault="008733B2">
      <w:pPr>
        <w:pStyle w:val="ListParagraph"/>
        <w:numPr>
          <w:ilvl w:val="0"/>
          <w:numId w:val="1"/>
        </w:numPr>
      </w:pPr>
      <w:r>
        <w:t>Md. Bahaman Hj. Ibrahim – Head, Johor Container Terminal</w:t>
      </w:r>
    </w:p>
    <w:p w:rsidR="008733B2" w:rsidRDefault="008733B2">
      <w:r>
        <w:t>The Head of JCT, En. Md. Bahaman started off the meeting by apologising on behalf of the DCEO, En. Hanafiah, that he had a prior engagement on this same time and therefore could not avail himself at this meeting.</w:t>
      </w:r>
    </w:p>
    <w:p w:rsidR="008733B2" w:rsidRDefault="008733B2">
      <w:pPr>
        <w:rPr>
          <w:rFonts w:ascii="Times New Roman" w:hAnsi="Times New Roman" w:cs="Times New Roman"/>
        </w:rPr>
      </w:pPr>
      <w:r>
        <w:t>The meeting then proceeded to discuss the following outstanding items from the last meeting held on the 27</w:t>
      </w:r>
      <w:r>
        <w:rPr>
          <w:vertAlign w:val="superscript"/>
        </w:rPr>
        <w:t>th</w:t>
      </w:r>
      <w:r>
        <w:t xml:space="preserve"> May 2010.</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7"/>
        <w:gridCol w:w="4394"/>
        <w:gridCol w:w="2408"/>
        <w:gridCol w:w="1763"/>
      </w:tblGrid>
      <w:tr w:rsidR="008733B2">
        <w:tc>
          <w:tcPr>
            <w:tcW w:w="366" w:type="pct"/>
          </w:tcPr>
          <w:p w:rsidR="008733B2" w:rsidRDefault="008733B2">
            <w:pPr>
              <w:spacing w:after="0" w:line="240" w:lineRule="auto"/>
              <w:jc w:val="center"/>
              <w:rPr>
                <w:b/>
                <w:bCs/>
              </w:rPr>
            </w:pPr>
          </w:p>
        </w:tc>
        <w:tc>
          <w:tcPr>
            <w:tcW w:w="2377" w:type="pct"/>
          </w:tcPr>
          <w:p w:rsidR="008733B2" w:rsidRDefault="008733B2">
            <w:pPr>
              <w:spacing w:after="0" w:line="240" w:lineRule="auto"/>
              <w:jc w:val="center"/>
              <w:rPr>
                <w:b/>
                <w:bCs/>
              </w:rPr>
            </w:pPr>
            <w:r>
              <w:rPr>
                <w:b/>
                <w:bCs/>
              </w:rPr>
              <w:t>Issues</w:t>
            </w:r>
          </w:p>
        </w:tc>
        <w:tc>
          <w:tcPr>
            <w:tcW w:w="1303" w:type="pct"/>
          </w:tcPr>
          <w:p w:rsidR="008733B2" w:rsidRDefault="008733B2">
            <w:pPr>
              <w:spacing w:after="0" w:line="240" w:lineRule="auto"/>
              <w:jc w:val="center"/>
              <w:rPr>
                <w:b/>
                <w:bCs/>
              </w:rPr>
            </w:pPr>
            <w:r>
              <w:rPr>
                <w:b/>
                <w:bCs/>
              </w:rPr>
              <w:t>Actions</w:t>
            </w:r>
          </w:p>
        </w:tc>
        <w:tc>
          <w:tcPr>
            <w:tcW w:w="954" w:type="pct"/>
          </w:tcPr>
          <w:p w:rsidR="008733B2" w:rsidRDefault="008733B2">
            <w:pPr>
              <w:spacing w:after="0" w:line="240" w:lineRule="auto"/>
              <w:jc w:val="center"/>
              <w:rPr>
                <w:b/>
                <w:bCs/>
              </w:rPr>
            </w:pPr>
            <w:r>
              <w:rPr>
                <w:b/>
                <w:bCs/>
              </w:rPr>
              <w:t>Actions by</w:t>
            </w:r>
          </w:p>
        </w:tc>
      </w:tr>
      <w:tr w:rsidR="008733B2">
        <w:tc>
          <w:tcPr>
            <w:tcW w:w="366" w:type="pct"/>
          </w:tcPr>
          <w:p w:rsidR="008733B2" w:rsidRDefault="008733B2">
            <w:pPr>
              <w:spacing w:after="0" w:line="240" w:lineRule="auto"/>
            </w:pPr>
            <w:r>
              <w:t>1.0</w:t>
            </w:r>
          </w:p>
        </w:tc>
        <w:tc>
          <w:tcPr>
            <w:tcW w:w="2377" w:type="pct"/>
          </w:tcPr>
          <w:p w:rsidR="008733B2" w:rsidRDefault="008733B2">
            <w:pPr>
              <w:spacing w:after="0" w:line="240" w:lineRule="auto"/>
              <w:rPr>
                <w:b/>
                <w:bCs/>
              </w:rPr>
            </w:pPr>
            <w:r>
              <w:rPr>
                <w:b/>
                <w:bCs/>
              </w:rPr>
              <w:t>Waiver of EMC &amp; Storage Charges</w:t>
            </w:r>
          </w:p>
          <w:p w:rsidR="008733B2" w:rsidRDefault="008733B2">
            <w:pPr>
              <w:spacing w:after="0" w:line="240" w:lineRule="auto"/>
            </w:pPr>
            <w:r>
              <w:t>En. Bahaman conveyed the Port’s decision not to accept any waiver of the EMC &amp; storage charges incurred due to the unilateral actions  of the vessel operators to lift their actions to regulate their vessels’ opening time declaration. The vessel operators had agreed to do so after the DCEO had conveyed an assurance and the request to do so subject to a favourable consideration to waive any relevant EMC &amp; storage charges,  via a telephone call to the JPSFA President on the 7</w:t>
            </w:r>
            <w:r>
              <w:rPr>
                <w:vertAlign w:val="superscript"/>
              </w:rPr>
              <w:t>th</w:t>
            </w:r>
            <w:r>
              <w:t xml:space="preserve"> April 2011. </w:t>
            </w:r>
          </w:p>
          <w:p w:rsidR="008733B2" w:rsidRDefault="008733B2">
            <w:pPr>
              <w:spacing w:after="0" w:line="240" w:lineRule="auto"/>
            </w:pPr>
          </w:p>
          <w:p w:rsidR="008733B2" w:rsidRDefault="008733B2">
            <w:pPr>
              <w:spacing w:after="0" w:line="240" w:lineRule="auto"/>
            </w:pPr>
            <w:r>
              <w:t>En. Bahaman then submitted a proposal to address the EMC &amp; store rent charges(for Vessel Account Only). An attachment is included.</w:t>
            </w:r>
          </w:p>
          <w:p w:rsidR="008733B2" w:rsidRDefault="008733B2">
            <w:pPr>
              <w:spacing w:after="0" w:line="240" w:lineRule="auto"/>
            </w:pPr>
          </w:p>
          <w:p w:rsidR="008733B2" w:rsidRDefault="008733B2">
            <w:pPr>
              <w:spacing w:after="0" w:line="240" w:lineRule="auto"/>
            </w:pPr>
            <w:r>
              <w:t>En. Bahaman to present the proposal again by 10</w:t>
            </w:r>
            <w:r>
              <w:rPr>
                <w:vertAlign w:val="superscript"/>
              </w:rPr>
              <w:t>th</w:t>
            </w:r>
            <w:r>
              <w:t xml:space="preserve"> June 2011. </w:t>
            </w:r>
          </w:p>
          <w:p w:rsidR="008733B2" w:rsidRDefault="008733B2">
            <w:pPr>
              <w:spacing w:after="0" w:line="240" w:lineRule="auto"/>
            </w:pPr>
          </w:p>
          <w:p w:rsidR="008733B2" w:rsidRDefault="008733B2">
            <w:pPr>
              <w:spacing w:after="0" w:line="240" w:lineRule="auto"/>
            </w:pPr>
          </w:p>
        </w:tc>
        <w:tc>
          <w:tcPr>
            <w:tcW w:w="1303" w:type="pct"/>
          </w:tcPr>
          <w:p w:rsidR="008733B2" w:rsidRDefault="008733B2">
            <w:pPr>
              <w:spacing w:after="0" w:line="240" w:lineRule="auto"/>
            </w:pPr>
          </w:p>
          <w:p w:rsidR="008733B2" w:rsidRDefault="008733B2">
            <w:pPr>
              <w:spacing w:after="0" w:line="240" w:lineRule="auto"/>
            </w:pPr>
            <w:r>
              <w:t>The JPSFA Container sub committee then requested that this decision be put into writing and sent out before 6</w:t>
            </w:r>
            <w:r>
              <w:rPr>
                <w:vertAlign w:val="superscript"/>
              </w:rPr>
              <w:t>th</w:t>
            </w:r>
            <w:r>
              <w:t xml:space="preserve"> June 2011.</w:t>
            </w: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r>
              <w:t xml:space="preserve"> This was intended to address the ongoing issues of EMC and store rent charges but due to the wordings of the proposal, which was not specific, JPSFA had requested that En. Bahaman studies the wordings carefully before presenting this proposal for furher consideration.</w:t>
            </w:r>
          </w:p>
          <w:p w:rsidR="008733B2" w:rsidRDefault="008733B2">
            <w:pPr>
              <w:spacing w:after="0" w:line="240" w:lineRule="auto"/>
            </w:pPr>
          </w:p>
        </w:tc>
        <w:tc>
          <w:tcPr>
            <w:tcW w:w="954" w:type="pct"/>
          </w:tcPr>
          <w:p w:rsidR="008733B2" w:rsidRDefault="008733B2">
            <w:pPr>
              <w:spacing w:after="0" w:line="240" w:lineRule="auto"/>
            </w:pPr>
          </w:p>
          <w:p w:rsidR="008733B2" w:rsidRDefault="008733B2">
            <w:pPr>
              <w:spacing w:after="0" w:line="240" w:lineRule="auto"/>
            </w:pPr>
            <w:r>
              <w:t>En. Bahaman</w:t>
            </w: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r>
              <w:t>En. Bahaman</w:t>
            </w:r>
          </w:p>
        </w:tc>
      </w:tr>
      <w:tr w:rsidR="008733B2">
        <w:tc>
          <w:tcPr>
            <w:tcW w:w="366" w:type="pct"/>
          </w:tcPr>
          <w:p w:rsidR="008733B2" w:rsidRDefault="008733B2">
            <w:pPr>
              <w:spacing w:after="0" w:line="240" w:lineRule="auto"/>
            </w:pPr>
            <w:r>
              <w:t>2.0</w:t>
            </w:r>
          </w:p>
        </w:tc>
        <w:tc>
          <w:tcPr>
            <w:tcW w:w="2377" w:type="pct"/>
          </w:tcPr>
          <w:p w:rsidR="008733B2" w:rsidRDefault="008733B2">
            <w:pPr>
              <w:spacing w:after="0" w:line="240" w:lineRule="auto"/>
            </w:pPr>
            <w:r>
              <w:rPr>
                <w:b/>
                <w:bCs/>
              </w:rPr>
              <w:t>Billing to Unintended Port Users</w:t>
            </w:r>
          </w:p>
          <w:p w:rsidR="008733B2" w:rsidRDefault="008733B2">
            <w:pPr>
              <w:spacing w:after="0" w:line="240" w:lineRule="auto"/>
            </w:pPr>
            <w:r>
              <w:t>En. Bahaman explained that after their findings, the present system is manually extracted and invoiced for stevedore and marine charges, which is already a difficult task. To futher agree to the issue brought up on segregating the EMC &amp; storage charges according  to the slot  partners in the service, will be an even more difficult task and therefore, the port cannot agree to JPSFA’s request.</w:t>
            </w:r>
          </w:p>
          <w:p w:rsidR="008733B2" w:rsidRDefault="008733B2">
            <w:pPr>
              <w:spacing w:after="0" w:line="240" w:lineRule="auto"/>
            </w:pPr>
          </w:p>
          <w:p w:rsidR="008733B2" w:rsidRDefault="008733B2">
            <w:pPr>
              <w:spacing w:after="0" w:line="240" w:lineRule="auto"/>
            </w:pPr>
            <w:r>
              <w:t>He states that their ICT is on an annual  5 year plan to upgrade, enhance and  integrate their systems and they shall include the above requirement into their programme. JPSFA has asked for a definite time frame as the port’s ICT initiatives had started since 2010.</w:t>
            </w:r>
          </w:p>
          <w:p w:rsidR="008733B2" w:rsidRDefault="008733B2">
            <w:pPr>
              <w:spacing w:after="0" w:line="240" w:lineRule="auto"/>
            </w:pPr>
          </w:p>
        </w:tc>
        <w:tc>
          <w:tcPr>
            <w:tcW w:w="1303" w:type="pct"/>
          </w:tcPr>
          <w:p w:rsidR="008733B2" w:rsidRDefault="008733B2">
            <w:pPr>
              <w:spacing w:after="0" w:line="240" w:lineRule="auto"/>
            </w:pPr>
          </w:p>
          <w:p w:rsidR="008733B2" w:rsidRDefault="008733B2">
            <w:pPr>
              <w:spacing w:after="0" w:line="240" w:lineRule="auto"/>
            </w:pPr>
            <w:r>
              <w:t xml:space="preserve">JPSFA to disseminate the port’s constraints to her members </w:t>
            </w: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r>
              <w:t>En. Bahaman has to consult their ICT Dept for further feedback.</w:t>
            </w:r>
          </w:p>
        </w:tc>
        <w:tc>
          <w:tcPr>
            <w:tcW w:w="954" w:type="pct"/>
          </w:tcPr>
          <w:p w:rsidR="008733B2" w:rsidRDefault="008733B2">
            <w:pPr>
              <w:spacing w:after="0" w:line="240" w:lineRule="auto"/>
            </w:pPr>
          </w:p>
          <w:p w:rsidR="008733B2" w:rsidRDefault="008733B2">
            <w:pPr>
              <w:spacing w:after="0" w:line="240" w:lineRule="auto"/>
            </w:pPr>
            <w:r>
              <w:t>JPSFA Secretariat</w:t>
            </w: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r>
              <w:t>En. Bahaman</w:t>
            </w:r>
          </w:p>
          <w:p w:rsidR="008733B2" w:rsidRDefault="008733B2">
            <w:pPr>
              <w:spacing w:after="0" w:line="240" w:lineRule="auto"/>
            </w:pPr>
            <w:r>
              <w:t>Johor Port’s ICT Dept.</w:t>
            </w:r>
          </w:p>
        </w:tc>
      </w:tr>
      <w:tr w:rsidR="008733B2">
        <w:tc>
          <w:tcPr>
            <w:tcW w:w="366" w:type="pct"/>
          </w:tcPr>
          <w:p w:rsidR="008733B2" w:rsidRDefault="008733B2">
            <w:pPr>
              <w:spacing w:after="0" w:line="240" w:lineRule="auto"/>
            </w:pPr>
            <w:r>
              <w:t>3.0</w:t>
            </w:r>
          </w:p>
        </w:tc>
        <w:tc>
          <w:tcPr>
            <w:tcW w:w="2377" w:type="pct"/>
          </w:tcPr>
          <w:p w:rsidR="008733B2" w:rsidRDefault="008733B2">
            <w:pPr>
              <w:spacing w:after="0" w:line="240" w:lineRule="auto"/>
            </w:pPr>
            <w:r>
              <w:rPr>
                <w:b/>
                <w:bCs/>
              </w:rPr>
              <w:t>Container Delivery Note</w:t>
            </w:r>
          </w:p>
          <w:p w:rsidR="008733B2" w:rsidRDefault="008733B2">
            <w:pPr>
              <w:spacing w:after="0" w:line="240" w:lineRule="auto"/>
            </w:pPr>
            <w:r>
              <w:t>En. Bahaman clarified that due to constraints on the monitoring of container movements within the port, the CDN is still a mandatory requirement and he cannot fixed a date on when the port can do away with this document.</w:t>
            </w:r>
          </w:p>
          <w:p w:rsidR="008733B2" w:rsidRDefault="008733B2">
            <w:pPr>
              <w:spacing w:after="0" w:line="240" w:lineRule="auto"/>
            </w:pPr>
          </w:p>
          <w:p w:rsidR="008733B2" w:rsidRDefault="008733B2">
            <w:pPr>
              <w:spacing w:after="0" w:line="240" w:lineRule="auto"/>
            </w:pPr>
            <w:r>
              <w:t>Since their ICT is on an enhancement programme, he shall bring this matter up for their review and advised JPSFA on when there is a definite action.</w:t>
            </w:r>
          </w:p>
          <w:p w:rsidR="008733B2" w:rsidRDefault="008733B2">
            <w:pPr>
              <w:spacing w:after="0" w:line="240" w:lineRule="auto"/>
            </w:pPr>
          </w:p>
          <w:p w:rsidR="008733B2" w:rsidRDefault="008733B2">
            <w:pPr>
              <w:spacing w:after="0" w:line="240" w:lineRule="auto"/>
            </w:pPr>
            <w:r>
              <w:t xml:space="preserve">JPSFA has again reiterated that the port should seriously look into a paperless process and therefore should not burden the port users whom had to add on costs for printing such documents. JPSFA has requested that this matter be reviewed and any updated actions on non CDN requirement should require a 6 months grace period before actual implementation. </w:t>
            </w:r>
          </w:p>
          <w:p w:rsidR="008733B2" w:rsidRDefault="008733B2">
            <w:pPr>
              <w:spacing w:after="0" w:line="240" w:lineRule="auto"/>
            </w:pPr>
          </w:p>
        </w:tc>
        <w:tc>
          <w:tcPr>
            <w:tcW w:w="1303" w:type="pct"/>
          </w:tcPr>
          <w:p w:rsidR="008733B2" w:rsidRDefault="008733B2">
            <w:pPr>
              <w:spacing w:after="0" w:line="240" w:lineRule="auto"/>
            </w:pPr>
          </w:p>
          <w:p w:rsidR="008733B2" w:rsidRDefault="008733B2">
            <w:pPr>
              <w:spacing w:after="0" w:line="240" w:lineRule="auto"/>
            </w:pPr>
            <w:r>
              <w:t>JPSFA shall advise their members on the continuance of the CDN requirement at least until end of 2011.</w:t>
            </w:r>
          </w:p>
        </w:tc>
        <w:tc>
          <w:tcPr>
            <w:tcW w:w="954" w:type="pct"/>
          </w:tcPr>
          <w:p w:rsidR="008733B2" w:rsidRDefault="008733B2">
            <w:pPr>
              <w:spacing w:after="0" w:line="240" w:lineRule="auto"/>
            </w:pPr>
          </w:p>
          <w:p w:rsidR="008733B2" w:rsidRDefault="008733B2">
            <w:pPr>
              <w:spacing w:after="0" w:line="240" w:lineRule="auto"/>
            </w:pPr>
            <w:r>
              <w:t>JPSFA Secretariat</w:t>
            </w: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r>
              <w:t>En. Bahaman</w:t>
            </w: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r>
              <w:t>En. Bahaman</w:t>
            </w: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p w:rsidR="008733B2" w:rsidRDefault="008733B2">
            <w:pPr>
              <w:spacing w:after="0" w:line="240" w:lineRule="auto"/>
            </w:pPr>
          </w:p>
        </w:tc>
      </w:tr>
      <w:tr w:rsidR="008733B2">
        <w:tc>
          <w:tcPr>
            <w:tcW w:w="366" w:type="pct"/>
          </w:tcPr>
          <w:p w:rsidR="008733B2" w:rsidRDefault="008733B2">
            <w:pPr>
              <w:spacing w:after="0" w:line="240" w:lineRule="auto"/>
            </w:pPr>
          </w:p>
        </w:tc>
        <w:tc>
          <w:tcPr>
            <w:tcW w:w="2377" w:type="pct"/>
          </w:tcPr>
          <w:p w:rsidR="008733B2" w:rsidRDefault="008733B2">
            <w:pPr>
              <w:spacing w:after="0" w:line="240" w:lineRule="auto"/>
              <w:rPr>
                <w:b/>
                <w:bCs/>
              </w:rPr>
            </w:pPr>
          </w:p>
        </w:tc>
        <w:tc>
          <w:tcPr>
            <w:tcW w:w="1303" w:type="pct"/>
          </w:tcPr>
          <w:p w:rsidR="008733B2" w:rsidRDefault="008733B2">
            <w:pPr>
              <w:spacing w:after="0" w:line="240" w:lineRule="auto"/>
            </w:pPr>
          </w:p>
        </w:tc>
        <w:tc>
          <w:tcPr>
            <w:tcW w:w="954" w:type="pct"/>
          </w:tcPr>
          <w:p w:rsidR="008733B2" w:rsidRDefault="008733B2">
            <w:pPr>
              <w:spacing w:after="0" w:line="240" w:lineRule="auto"/>
            </w:pPr>
          </w:p>
        </w:tc>
      </w:tr>
    </w:tbl>
    <w:p w:rsidR="008733B2" w:rsidRDefault="008733B2">
      <w:pPr>
        <w:rPr>
          <w:rFonts w:ascii="Times New Roman" w:hAnsi="Times New Roman" w:cs="Times New Roman"/>
        </w:rPr>
      </w:pPr>
    </w:p>
    <w:p w:rsidR="008733B2" w:rsidRDefault="008733B2">
      <w:pPr>
        <w:rPr>
          <w:rFonts w:ascii="Times New Roman" w:hAnsi="Times New Roman" w:cs="Times New Roman"/>
        </w:rPr>
      </w:pPr>
      <w:r>
        <w:t>There being no further matters, the meeting was adjourned at 12.00pm</w:t>
      </w:r>
    </w:p>
    <w:sectPr w:rsidR="008733B2" w:rsidSect="008733B2">
      <w:pgSz w:w="11906" w:h="16838"/>
      <w:pgMar w:top="108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81B0C"/>
    <w:multiLevelType w:val="hybridMultilevel"/>
    <w:tmpl w:val="9DF43556"/>
    <w:lvl w:ilvl="0" w:tplc="4409000F">
      <w:start w:val="1"/>
      <w:numFmt w:val="decimal"/>
      <w:lvlText w:val="%1."/>
      <w:lvlJc w:val="left"/>
      <w:pPr>
        <w:ind w:left="720" w:hanging="360"/>
      </w:pPr>
      <w:rPr>
        <w:rFonts w:ascii="Times New Roman" w:hAnsi="Times New Roman" w:hint="default"/>
      </w:rPr>
    </w:lvl>
    <w:lvl w:ilvl="1" w:tplc="44090019">
      <w:start w:val="1"/>
      <w:numFmt w:val="lowerLetter"/>
      <w:lvlText w:val="%2."/>
      <w:lvlJc w:val="left"/>
      <w:pPr>
        <w:ind w:left="1440" w:hanging="360"/>
      </w:pPr>
      <w:rPr>
        <w:rFonts w:ascii="Times New Roman" w:hAnsi="Times New Roman"/>
      </w:rPr>
    </w:lvl>
    <w:lvl w:ilvl="2" w:tplc="4409001B">
      <w:start w:val="1"/>
      <w:numFmt w:val="lowerRoman"/>
      <w:lvlText w:val="%3."/>
      <w:lvlJc w:val="right"/>
      <w:pPr>
        <w:ind w:left="2160" w:hanging="180"/>
      </w:pPr>
      <w:rPr>
        <w:rFonts w:ascii="Times New Roman" w:hAnsi="Times New Roman"/>
      </w:rPr>
    </w:lvl>
    <w:lvl w:ilvl="3" w:tplc="4409000F">
      <w:start w:val="1"/>
      <w:numFmt w:val="decimal"/>
      <w:lvlText w:val="%4."/>
      <w:lvlJc w:val="left"/>
      <w:pPr>
        <w:ind w:left="2880" w:hanging="360"/>
      </w:pPr>
      <w:rPr>
        <w:rFonts w:ascii="Times New Roman" w:hAnsi="Times New Roman"/>
      </w:rPr>
    </w:lvl>
    <w:lvl w:ilvl="4" w:tplc="44090019">
      <w:start w:val="1"/>
      <w:numFmt w:val="lowerLetter"/>
      <w:lvlText w:val="%5."/>
      <w:lvlJc w:val="left"/>
      <w:pPr>
        <w:ind w:left="3600" w:hanging="360"/>
      </w:pPr>
      <w:rPr>
        <w:rFonts w:ascii="Times New Roman" w:hAnsi="Times New Roman"/>
      </w:rPr>
    </w:lvl>
    <w:lvl w:ilvl="5" w:tplc="4409001B">
      <w:start w:val="1"/>
      <w:numFmt w:val="lowerRoman"/>
      <w:lvlText w:val="%6."/>
      <w:lvlJc w:val="right"/>
      <w:pPr>
        <w:ind w:left="4320" w:hanging="180"/>
      </w:pPr>
      <w:rPr>
        <w:rFonts w:ascii="Times New Roman" w:hAnsi="Times New Roman"/>
      </w:rPr>
    </w:lvl>
    <w:lvl w:ilvl="6" w:tplc="4409000F">
      <w:start w:val="1"/>
      <w:numFmt w:val="decimal"/>
      <w:lvlText w:val="%7."/>
      <w:lvlJc w:val="left"/>
      <w:pPr>
        <w:ind w:left="5040" w:hanging="360"/>
      </w:pPr>
      <w:rPr>
        <w:rFonts w:ascii="Times New Roman" w:hAnsi="Times New Roman"/>
      </w:rPr>
    </w:lvl>
    <w:lvl w:ilvl="7" w:tplc="44090019">
      <w:start w:val="1"/>
      <w:numFmt w:val="lowerLetter"/>
      <w:lvlText w:val="%8."/>
      <w:lvlJc w:val="left"/>
      <w:pPr>
        <w:ind w:left="5760" w:hanging="360"/>
      </w:pPr>
      <w:rPr>
        <w:rFonts w:ascii="Times New Roman" w:hAnsi="Times New Roman"/>
      </w:rPr>
    </w:lvl>
    <w:lvl w:ilvl="8" w:tplc="4409001B">
      <w:start w:val="1"/>
      <w:numFmt w:val="lowerRoman"/>
      <w:lvlText w:val="%9."/>
      <w:lvlJc w:val="right"/>
      <w:pPr>
        <w:ind w:left="6480" w:hanging="180"/>
      </w:pPr>
      <w:rPr>
        <w:rFonts w:ascii="Times New Roman" w:hAnsi="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B2"/>
    <w:rsid w:val="008733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n-MY"/>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TotalTime>
  <Pages>2</Pages>
  <Words>557</Words>
  <Characters>3176</Characters>
  <Application>Microsoft Office Outlook</Application>
  <DocSecurity>0</DocSecurity>
  <Lines>0</Lines>
  <Paragraphs>0</Paragraphs>
  <ScaleCrop>false</ScaleCrop>
  <Company>JPSFA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Cheah Michael</dc:creator>
  <cp:keywords/>
  <dc:description/>
  <cp:lastModifiedBy>JPSFA</cp:lastModifiedBy>
  <cp:revision>2</cp:revision>
  <dcterms:created xsi:type="dcterms:W3CDTF">2011-06-06T02:45:00Z</dcterms:created>
  <dcterms:modified xsi:type="dcterms:W3CDTF">2011-06-06T05:46:00Z</dcterms:modified>
</cp:coreProperties>
</file>